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8EBE" w14:textId="57F5B302" w:rsidR="009769CF" w:rsidRPr="00587963" w:rsidRDefault="009769CF" w:rsidP="009769CF">
      <w:pPr>
        <w:pStyle w:val="Heading4"/>
        <w:spacing w:before="150" w:beforeAutospacing="0" w:after="165" w:afterAutospacing="0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>Az EU tagállamai</w:t>
      </w:r>
      <w:r w:rsidR="002F160F"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>nak</w:t>
      </w:r>
      <w:r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> vezet</w:t>
      </w:r>
      <w:r w:rsidR="002F160F"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>ésével újraindul</w:t>
      </w:r>
      <w:r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> az Európai Közúti </w:t>
      </w:r>
      <w:r w:rsidR="002F160F"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>Közlekedésbiztonsági</w:t>
      </w:r>
      <w:r w:rsidRPr="00587963">
        <w:rPr>
          <w:rFonts w:ascii="Calibri" w:hAnsi="Calibri" w:cs="Calibri"/>
          <w:color w:val="000000" w:themeColor="text1"/>
          <w:sz w:val="28"/>
          <w:szCs w:val="28"/>
          <w:lang w:val="hu-HU"/>
        </w:rPr>
        <w:t xml:space="preserve"> Charta </w:t>
      </w:r>
    </w:p>
    <w:p w14:paraId="16B6DE00" w14:textId="2D90355D" w:rsidR="009769CF" w:rsidRPr="00587963" w:rsidRDefault="002F160F" w:rsidP="009769CF">
      <w:pPr>
        <w:pStyle w:val="NormalWeb"/>
        <w:spacing w:before="0" w:beforeAutospacing="0" w:after="160" w:afterAutospacing="0" w:line="238" w:lineRule="atLeast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Április 20-án az Európai Bizottság hivatalosan újraindította az Európai Közúti Közlekedésbiztonsági Chartát (Charta), amely a civil társadalom legnagyobb közúti közlekedésbiztonsági platformja, annak érdekében, hogy támogassa a Vision Zero törekvését, miszerint a közúti halálesetek számát 2050-ig csaknem nullára kell csökkenteni. A tudatosság növelése, valamint a helyi és nemzeti szintű jelenlét növelése érdekében a Mobilitás- és Közlekedéspolitikai Főigazgatóság (DG MOVE) intenzíven együttműködik a Nemzeti Képviselők hálózatával az EU 27 tagállamában.</w:t>
      </w:r>
    </w:p>
    <w:p w14:paraId="6E6ED269" w14:textId="77777777" w:rsidR="002F160F" w:rsidRPr="00587963" w:rsidRDefault="002F160F" w:rsidP="002F160F">
      <w:pPr>
        <w:pStyle w:val="NormalWeb"/>
        <w:spacing w:before="0" w:beforeAutospacing="0" w:after="160" w:afterAutospacing="0" w:line="238" w:lineRule="atLeast"/>
        <w:jc w:val="both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Matthew Baldwin, a Közúti Közlekedésbiztonság és a Fenntartható Mobilitás európai koordinátora a Nemzeti Képviselők projektindító rendezvényén tartott megnyitóbeszédében kifejtette, hogy a Charta milyen kihívásokkal nézett szembe az elmúlt években, és az Európai Bizottság milyen módon dolgozott ki egy új és erősebb megközelítést a Nemzeti Képviselők támogatására a Charta újraindítása során. Baldwin meggyőződése, hogy a Nemzeti Képviselőknek kulcsszerepe van a Charta regionális, nemzeti és EU-szintű előmozdításában, ahol a fő cél a jó gyakorlatok cseréje és a civil társadalom mozgósítása tényleges akciók megvalósítására, a közúti közlekedésbiztonság javítása érdekében.</w:t>
      </w:r>
    </w:p>
    <w:p w14:paraId="09B0FD34" w14:textId="77777777" w:rsidR="002F160F" w:rsidRPr="00587963" w:rsidRDefault="002F160F" w:rsidP="002F160F">
      <w:pPr>
        <w:pStyle w:val="NormalWeb"/>
        <w:spacing w:before="0" w:beforeAutospacing="0" w:after="160" w:afterAutospacing="0" w:line="238" w:lineRule="atLeast"/>
        <w:jc w:val="both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nyitóbeszéd után a Nemzeti Képviselők megbízott tagjai megosztották tapasztalataikat, és egyeztették a következő lehetséges lépéseket a már meglévő tagokkal való újbóli kapcsolatfelvételre, és az érdekeltek csatlakozásra való ösztönzésére irányulóan. A Nemzeti Képviselők tagjai néhány inspiráló előadást is megtekinthettek, amelyeket a Spanyol Fundación MAPFRE és a Görög Közúti Közlekedésbiztonsági Intézet Panos-Mylonas tartott . Az előadások ismertették a korábbi nemzeti képviselőként végzett tevékenységeiket, és ötleteket osztottak meg a jövőbeni együttműködésről a Charta tagjaival és az érdekeltek szélesebb körű közösségével.</w:t>
      </w:r>
    </w:p>
    <w:p w14:paraId="199A0285" w14:textId="77777777" w:rsidR="009769CF" w:rsidRPr="00587963" w:rsidRDefault="009769CF" w:rsidP="009769CF">
      <w:pPr>
        <w:pStyle w:val="Heading4"/>
        <w:spacing w:before="150" w:beforeAutospacing="0" w:after="165" w:afterAutospacing="0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Lehetőségek a Charta tagjai számára</w:t>
      </w:r>
    </w:p>
    <w:p w14:paraId="198F3F1E" w14:textId="306AA143" w:rsidR="00C702B5" w:rsidRPr="00587963" w:rsidRDefault="00C702B5" w:rsidP="009769CF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Annak érdekében, hogy teljes mértékben támogassa azokat a lehetőségeket, amelyek általánosságban javíthatják a közúti közlekedésbiztonsági intézkedéseket és felgyorsíthatják a Charta elfogadását, a Nemzeti Képviselők útmutatást adnak a Charta tagjainak ennek megvalósításához, és támogatják őket a nemzeti promóciós tevékenységek kialakításában.</w:t>
      </w:r>
    </w:p>
    <w:p w14:paraId="1AB5BC62" w14:textId="21E511A0" w:rsidR="009769CF" w:rsidRPr="00587963" w:rsidRDefault="009769CF" w:rsidP="009769CF">
      <w:pPr>
        <w:pStyle w:val="NormalWeb"/>
        <w:spacing w:before="0" w:beforeAutospacing="0" w:after="165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Ez az év fontos lesz a közúti 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közlekedés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biztonság szempontjából, mivel 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az élet újraindul a világon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. Mindannyian remélhetjük, hogy a koronavírus (COVID-19) járvány egyik pozitív aspektusa az lesz, hogy a kialakított ideiglenes infrastruktúra, például a felbukkanó kerékpárutak és az új gyalogos zónák állandóvá válnak, mivel ez segít 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elérhetőbbé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és biztonságosabbá 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tenni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mobilitást a 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védtelen közlekedők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számára. Világszerte a kormányok helyesen léptek a COVID-19 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járvány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következtében bekövetkezett halálesetek csökkentése érdekében - és ugyanolyan komolyan kell venni a közúti haláleseteket is. Miért kellene tehát elfogadnunk, hogy a forgalom visszatérésekor ismét növekedni fog a közúti halálesetek száma? </w:t>
      </w:r>
      <w:r w:rsidR="00C702B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Egy élet elvesztése sem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elfogadható.</w:t>
      </w:r>
    </w:p>
    <w:p w14:paraId="4908C8B4" w14:textId="77777777" w:rsidR="009769CF" w:rsidRPr="00587963" w:rsidRDefault="009769CF" w:rsidP="009769CF">
      <w:pPr>
        <w:pStyle w:val="Heading4"/>
        <w:spacing w:before="150" w:beforeAutospacing="0" w:after="165" w:afterAutospacing="0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Kapcsolat és további információk</w:t>
      </w:r>
    </w:p>
    <w:p w14:paraId="6CE53E2E" w14:textId="694DF3CB" w:rsidR="009769CF" w:rsidRPr="00587963" w:rsidRDefault="00C17514" w:rsidP="00587963">
      <w:pPr>
        <w:pStyle w:val="NormalWeb"/>
        <w:spacing w:before="0" w:beforeAutospacing="0" w:after="165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Nemzeti Képviselők hálózata és az </w:t>
      </w:r>
      <w:hyperlink r:id="rId5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ERSC ügyfélszolgálata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lehetőséget biztosít a közúti közlekedésbiztonsági szakértőkkel vagy kommunikációs szakértőkkel való kapcsolatfelvételre, akik készséggel megválaszolják az egyes felmerülő kérdéseket. A tagok és az érdekelt felek összefogva közös erőfeszítéseket tehetnek a közúti közlekedésbiztonsági közösségük kibővítésére, valamint a kapacitás kiépítésére és növelésére ugyanazon célkitűzéssel – az elkötelezettség életeket menthet meg utainkon.</w:t>
      </w:r>
    </w:p>
    <w:p w14:paraId="318F6C6A" w14:textId="123F6B5C" w:rsidR="009769CF" w:rsidRPr="00587963" w:rsidRDefault="00587963" w:rsidP="00587963">
      <w:pPr>
        <w:pStyle w:val="NormalWeb"/>
        <w:spacing w:line="238" w:lineRule="atLeast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Az egyes tagállamok nemzeti tagjai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az alábbiakban soroljuk fel.</w:t>
      </w:r>
    </w:p>
    <w:tbl>
      <w:tblPr>
        <w:tblStyle w:val="ListTable4-Accent3"/>
        <w:tblW w:w="8840" w:type="dxa"/>
        <w:tblLook w:val="04A0" w:firstRow="1" w:lastRow="0" w:firstColumn="1" w:lastColumn="0" w:noHBand="0" w:noVBand="1"/>
      </w:tblPr>
      <w:tblGrid>
        <w:gridCol w:w="1980"/>
        <w:gridCol w:w="6860"/>
      </w:tblGrid>
      <w:tr w:rsidR="00587963" w:rsidRPr="00587963" w14:paraId="209BD01E" w14:textId="77777777" w:rsidTr="00587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63EE22B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hu-HU"/>
              </w:rPr>
              <w:lastRenderedPageBreak/>
              <w:t>Ország</w:t>
            </w:r>
          </w:p>
        </w:tc>
        <w:tc>
          <w:tcPr>
            <w:tcW w:w="6860" w:type="dxa"/>
            <w:hideMark/>
          </w:tcPr>
          <w:p w14:paraId="1577664A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hu-HU"/>
              </w:rPr>
              <w:t>Szervezet</w:t>
            </w:r>
          </w:p>
        </w:tc>
      </w:tr>
      <w:tr w:rsidR="00587963" w:rsidRPr="00587963" w14:paraId="7349DF17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48BE153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Ausztria</w:t>
            </w:r>
          </w:p>
        </w:tc>
        <w:tc>
          <w:tcPr>
            <w:tcW w:w="6860" w:type="dxa"/>
            <w:hideMark/>
          </w:tcPr>
          <w:p w14:paraId="554FD922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KFV Kuratorium für Verkehrssicherheit</w:t>
            </w:r>
          </w:p>
        </w:tc>
      </w:tr>
      <w:tr w:rsidR="00587963" w:rsidRPr="00587963" w14:paraId="4FBA382F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4006B37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Belgium</w:t>
            </w:r>
          </w:p>
        </w:tc>
        <w:tc>
          <w:tcPr>
            <w:tcW w:w="6860" w:type="dxa"/>
            <w:hideMark/>
          </w:tcPr>
          <w:p w14:paraId="4F1E128B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Vias intézet</w:t>
            </w:r>
          </w:p>
        </w:tc>
      </w:tr>
      <w:tr w:rsidR="00587963" w:rsidRPr="00587963" w14:paraId="511CE4E0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60A4D2C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Bulgária</w:t>
            </w:r>
          </w:p>
        </w:tc>
        <w:tc>
          <w:tcPr>
            <w:tcW w:w="6860" w:type="dxa"/>
            <w:hideMark/>
          </w:tcPr>
          <w:p w14:paraId="443F729E" w14:textId="4FF7FADF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 xml:space="preserve">Bolgár Közúti </w:t>
            </w:r>
            <w:r w:rsidR="00C17514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Közlekedésb</w:t>
            </w: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iztonsági Intézet</w:t>
            </w:r>
          </w:p>
        </w:tc>
      </w:tr>
      <w:tr w:rsidR="00587963" w:rsidRPr="00587963" w14:paraId="194CE856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C85382B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Horvátország</w:t>
            </w:r>
          </w:p>
        </w:tc>
        <w:tc>
          <w:tcPr>
            <w:tcW w:w="6860" w:type="dxa"/>
            <w:hideMark/>
          </w:tcPr>
          <w:p w14:paraId="7DC8BECE" w14:textId="0130E13B" w:rsidR="009769CF" w:rsidRPr="00587963" w:rsidRDefault="00C175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Horvát Autóklub</w:t>
            </w:r>
            <w:r w:rsidR="009769CF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 xml:space="preserve"> ( Hrvatski Autoklub - HAK)</w:t>
            </w:r>
          </w:p>
        </w:tc>
      </w:tr>
      <w:tr w:rsidR="00587963" w:rsidRPr="00587963" w14:paraId="263FB79C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679FCB1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Ciprus</w:t>
            </w:r>
          </w:p>
        </w:tc>
        <w:tc>
          <w:tcPr>
            <w:tcW w:w="6860" w:type="dxa"/>
            <w:hideMark/>
          </w:tcPr>
          <w:p w14:paraId="00DFD6CA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Ciprusi Autószövetség</w:t>
            </w:r>
          </w:p>
        </w:tc>
      </w:tr>
      <w:tr w:rsidR="00587963" w:rsidRPr="00587963" w14:paraId="06500C30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7573A64C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Cseh Köztársaság</w:t>
            </w:r>
          </w:p>
        </w:tc>
        <w:tc>
          <w:tcPr>
            <w:tcW w:w="6860" w:type="dxa"/>
            <w:hideMark/>
          </w:tcPr>
          <w:p w14:paraId="70BFBA04" w14:textId="4B3D4849" w:rsidR="009769CF" w:rsidRPr="00587963" w:rsidRDefault="00C1751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Közlekedési Kutatóközpont</w:t>
            </w:r>
            <w:r w:rsidR="009769CF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 (Centrum dopravního výzkumu - CDV)</w:t>
            </w:r>
          </w:p>
        </w:tc>
      </w:tr>
      <w:tr w:rsidR="00587963" w:rsidRPr="00587963" w14:paraId="78642A9B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7F05418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Dánia</w:t>
            </w:r>
          </w:p>
        </w:tc>
        <w:tc>
          <w:tcPr>
            <w:tcW w:w="6860" w:type="dxa"/>
            <w:hideMark/>
          </w:tcPr>
          <w:p w14:paraId="69D70192" w14:textId="090AE6AD" w:rsidR="009769CF" w:rsidRPr="00587963" w:rsidRDefault="00C175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</w:t>
            </w:r>
            <w:r w:rsidR="009769CF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egerősítendő</w:t>
            </w:r>
          </w:p>
        </w:tc>
      </w:tr>
      <w:tr w:rsidR="00587963" w:rsidRPr="00587963" w14:paraId="55C2CDAF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5C38414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Észtország</w:t>
            </w:r>
          </w:p>
        </w:tc>
        <w:tc>
          <w:tcPr>
            <w:tcW w:w="6860" w:type="dxa"/>
            <w:hideMark/>
          </w:tcPr>
          <w:p w14:paraId="28AED234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Észt Autósiskolák Egyesülete</w:t>
            </w:r>
          </w:p>
        </w:tc>
      </w:tr>
      <w:tr w:rsidR="00587963" w:rsidRPr="00587963" w14:paraId="2728D3D6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D59A6A4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Finnország</w:t>
            </w:r>
          </w:p>
        </w:tc>
        <w:tc>
          <w:tcPr>
            <w:tcW w:w="6860" w:type="dxa"/>
            <w:hideMark/>
          </w:tcPr>
          <w:p w14:paraId="635AA2EA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Liikenneturva</w:t>
            </w:r>
          </w:p>
        </w:tc>
      </w:tr>
      <w:tr w:rsidR="00587963" w:rsidRPr="00587963" w14:paraId="723C4464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45370A3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Franciaország</w:t>
            </w:r>
          </w:p>
        </w:tc>
        <w:tc>
          <w:tcPr>
            <w:tcW w:w="6860" w:type="dxa"/>
            <w:hideMark/>
          </w:tcPr>
          <w:p w14:paraId="70150A62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Association Prévention Routière (THM)</w:t>
            </w:r>
          </w:p>
        </w:tc>
      </w:tr>
      <w:tr w:rsidR="00587963" w:rsidRPr="00587963" w14:paraId="77B49032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D1894A9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Németország</w:t>
            </w:r>
          </w:p>
        </w:tc>
        <w:tc>
          <w:tcPr>
            <w:tcW w:w="6860" w:type="dxa"/>
            <w:hideMark/>
          </w:tcPr>
          <w:p w14:paraId="030BD344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Megerősítendő</w:t>
            </w:r>
          </w:p>
        </w:tc>
      </w:tr>
      <w:tr w:rsidR="00587963" w:rsidRPr="00587963" w14:paraId="78C55961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50CCCB8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Görögország</w:t>
            </w:r>
          </w:p>
        </w:tc>
        <w:tc>
          <w:tcPr>
            <w:tcW w:w="6860" w:type="dxa"/>
            <w:hideMark/>
          </w:tcPr>
          <w:p w14:paraId="371697AB" w14:textId="71CE0860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 xml:space="preserve">Közúti </w:t>
            </w:r>
            <w:r w:rsidR="00C17514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Közlekedésb</w:t>
            </w: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iztonsági Intézet Panos</w:t>
            </w:r>
            <w:r w:rsidR="00C17514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-</w:t>
            </w: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Mylonas</w:t>
            </w:r>
          </w:p>
        </w:tc>
      </w:tr>
      <w:tr w:rsidR="00587963" w:rsidRPr="00587963" w14:paraId="2DC3703D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602CB69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Magyarország</w:t>
            </w:r>
          </w:p>
        </w:tc>
        <w:tc>
          <w:tcPr>
            <w:tcW w:w="6860" w:type="dxa"/>
            <w:hideMark/>
          </w:tcPr>
          <w:p w14:paraId="744247A5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Közlekedéstudományi Intézet (Közlekedéstudományi Intézet - KTI)</w:t>
            </w:r>
          </w:p>
        </w:tc>
      </w:tr>
      <w:tr w:rsidR="00587963" w:rsidRPr="00587963" w14:paraId="5C5754C0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DB5B232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Írország</w:t>
            </w:r>
          </w:p>
        </w:tc>
        <w:tc>
          <w:tcPr>
            <w:tcW w:w="6860" w:type="dxa"/>
            <w:hideMark/>
          </w:tcPr>
          <w:p w14:paraId="7E82006D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Közúti Biztonsági Hatóság (RSA)</w:t>
            </w:r>
          </w:p>
        </w:tc>
      </w:tr>
      <w:tr w:rsidR="00587963" w:rsidRPr="00587963" w14:paraId="72FB17A7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D5B2D08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Olaszország</w:t>
            </w:r>
          </w:p>
        </w:tc>
        <w:tc>
          <w:tcPr>
            <w:tcW w:w="6860" w:type="dxa"/>
            <w:hideMark/>
          </w:tcPr>
          <w:p w14:paraId="4DDB593B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UNASCA - Autósiskolák és Autóipari Tanácsadó Irodák Országos Szakszervezete</w:t>
            </w:r>
          </w:p>
        </w:tc>
      </w:tr>
      <w:tr w:rsidR="00587963" w:rsidRPr="00587963" w14:paraId="22DB79C1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5C75F1A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Lettország</w:t>
            </w:r>
          </w:p>
        </w:tc>
        <w:tc>
          <w:tcPr>
            <w:tcW w:w="6860" w:type="dxa"/>
            <w:hideMark/>
          </w:tcPr>
          <w:p w14:paraId="6C981E9E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Lett Autóklub</w:t>
            </w:r>
          </w:p>
        </w:tc>
      </w:tr>
      <w:tr w:rsidR="00587963" w:rsidRPr="00587963" w14:paraId="5A6A2B6F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8DA9962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Litvánia</w:t>
            </w:r>
          </w:p>
        </w:tc>
        <w:tc>
          <w:tcPr>
            <w:tcW w:w="6860" w:type="dxa"/>
            <w:hideMark/>
          </w:tcPr>
          <w:p w14:paraId="553B2E40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Litván Autósok Egyesülete</w:t>
            </w:r>
          </w:p>
        </w:tc>
      </w:tr>
      <w:tr w:rsidR="00587963" w:rsidRPr="00587963" w14:paraId="140922D0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6112787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Luxemburg</w:t>
            </w:r>
          </w:p>
        </w:tc>
        <w:tc>
          <w:tcPr>
            <w:tcW w:w="6860" w:type="dxa"/>
            <w:hideMark/>
          </w:tcPr>
          <w:p w14:paraId="4B263697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Sécurité Routière Luxembourg</w:t>
            </w:r>
          </w:p>
        </w:tc>
      </w:tr>
      <w:tr w:rsidR="00587963" w:rsidRPr="00587963" w14:paraId="459A1273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D8944E1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Málta</w:t>
            </w:r>
          </w:p>
        </w:tc>
        <w:tc>
          <w:tcPr>
            <w:tcW w:w="6860" w:type="dxa"/>
            <w:hideMark/>
          </w:tcPr>
          <w:p w14:paraId="562431DF" w14:textId="0824410B" w:rsidR="009769CF" w:rsidRPr="00587963" w:rsidRDefault="00C175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Málta Közlekedéséért</w:t>
            </w:r>
            <w:r w:rsidR="009769CF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 xml:space="preserve"> - Máltai Közúti Biztonsági Tanács</w:t>
            </w:r>
          </w:p>
        </w:tc>
      </w:tr>
      <w:tr w:rsidR="00587963" w:rsidRPr="00587963" w14:paraId="1932667C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2C2A8D5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Lengyelország</w:t>
            </w:r>
          </w:p>
        </w:tc>
        <w:tc>
          <w:tcPr>
            <w:tcW w:w="6860" w:type="dxa"/>
            <w:hideMark/>
          </w:tcPr>
          <w:p w14:paraId="40D3D22A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Motor Közlekedési Intézet (Instytut Transportu Samochodowego - ITS)</w:t>
            </w:r>
          </w:p>
        </w:tc>
      </w:tr>
      <w:tr w:rsidR="00587963" w:rsidRPr="00587963" w14:paraId="7D47E7C4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D9252A0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Portugália</w:t>
            </w:r>
          </w:p>
        </w:tc>
        <w:tc>
          <w:tcPr>
            <w:tcW w:w="6860" w:type="dxa"/>
            <w:hideMark/>
          </w:tcPr>
          <w:p w14:paraId="3178AB14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Prevençáo Rodoviária Portuguesa</w:t>
            </w:r>
          </w:p>
        </w:tc>
      </w:tr>
      <w:tr w:rsidR="00587963" w:rsidRPr="00587963" w14:paraId="75AEDFEC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A9351AC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Románia</w:t>
            </w:r>
          </w:p>
        </w:tc>
        <w:tc>
          <w:tcPr>
            <w:tcW w:w="6860" w:type="dxa"/>
            <w:hideMark/>
          </w:tcPr>
          <w:p w14:paraId="10B11CE9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Automobil Clubul Roman</w:t>
            </w:r>
          </w:p>
        </w:tc>
      </w:tr>
      <w:tr w:rsidR="00587963" w:rsidRPr="00587963" w14:paraId="7BCE7114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0D1534D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Szlovákia</w:t>
            </w:r>
          </w:p>
        </w:tc>
        <w:tc>
          <w:tcPr>
            <w:tcW w:w="6860" w:type="dxa"/>
            <w:hideMark/>
          </w:tcPr>
          <w:p w14:paraId="0975807A" w14:textId="71DFF844" w:rsidR="009769CF" w:rsidRPr="00587963" w:rsidRDefault="00C17514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M</w:t>
            </w:r>
            <w:r w:rsidR="009769CF"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egerősítendő</w:t>
            </w:r>
          </w:p>
        </w:tc>
      </w:tr>
      <w:tr w:rsidR="00587963" w:rsidRPr="00587963" w14:paraId="53731975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9D50547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Szlovénia</w:t>
            </w:r>
          </w:p>
        </w:tc>
        <w:tc>
          <w:tcPr>
            <w:tcW w:w="6860" w:type="dxa"/>
            <w:hideMark/>
          </w:tcPr>
          <w:p w14:paraId="3C3835C2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Zavod Vozim</w:t>
            </w:r>
          </w:p>
        </w:tc>
      </w:tr>
      <w:tr w:rsidR="00587963" w:rsidRPr="00587963" w14:paraId="2E986074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01A49060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Spanyolország</w:t>
            </w:r>
          </w:p>
        </w:tc>
        <w:tc>
          <w:tcPr>
            <w:tcW w:w="6860" w:type="dxa"/>
            <w:hideMark/>
          </w:tcPr>
          <w:p w14:paraId="21435173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Fundación M APFRE</w:t>
            </w:r>
          </w:p>
        </w:tc>
      </w:tr>
      <w:tr w:rsidR="00587963" w:rsidRPr="00587963" w14:paraId="34B6DA71" w14:textId="77777777" w:rsidTr="0058796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6B8FF8C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Svédország</w:t>
            </w:r>
          </w:p>
        </w:tc>
        <w:tc>
          <w:tcPr>
            <w:tcW w:w="6860" w:type="dxa"/>
            <w:hideMark/>
          </w:tcPr>
          <w:p w14:paraId="22305EF0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Svéd Tartózkodó Autósok Szövetsége (Motorförarnas Helnykterhetsförbund - MHF)</w:t>
            </w:r>
          </w:p>
        </w:tc>
      </w:tr>
      <w:tr w:rsidR="00587963" w:rsidRPr="00587963" w14:paraId="13490159" w14:textId="77777777" w:rsidTr="0058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65E6FA8D" w14:textId="77777777" w:rsidR="009769CF" w:rsidRPr="00587963" w:rsidRDefault="009769CF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Hollandia</w:t>
            </w:r>
          </w:p>
        </w:tc>
        <w:tc>
          <w:tcPr>
            <w:tcW w:w="6860" w:type="dxa"/>
            <w:hideMark/>
          </w:tcPr>
          <w:p w14:paraId="6926DF14" w14:textId="77777777" w:rsidR="009769CF" w:rsidRPr="00587963" w:rsidRDefault="009769CF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hu-HU"/>
              </w:rPr>
            </w:pPr>
            <w:r w:rsidRPr="00587963">
              <w:rPr>
                <w:rFonts w:ascii="Calibri" w:hAnsi="Calibri" w:cs="Calibri"/>
                <w:color w:val="000000" w:themeColor="text1"/>
                <w:sz w:val="22"/>
                <w:szCs w:val="22"/>
                <w:lang w:val="hu-HU"/>
              </w:rPr>
              <w:t>Interpolis</w:t>
            </w:r>
          </w:p>
        </w:tc>
      </w:tr>
    </w:tbl>
    <w:p w14:paraId="72C56934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</w:p>
    <w:p w14:paraId="1A61E0BC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További információkért kérjük :</w:t>
      </w:r>
    </w:p>
    <w:p w14:paraId="37F7550E" w14:textId="2FE2962C" w:rsidR="009769CF" w:rsidRPr="00587963" w:rsidRDefault="00C17514" w:rsidP="009769CF">
      <w:pPr>
        <w:numPr>
          <w:ilvl w:val="0"/>
          <w:numId w:val="4"/>
        </w:numPr>
        <w:spacing w:after="0" w:line="238" w:lineRule="atLeast"/>
        <w:ind w:left="1241" w:firstLine="0"/>
        <w:rPr>
          <w:color w:val="000000" w:themeColor="text1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>látogasson el weboldalunkra</w:t>
      </w:r>
      <w:r w:rsidR="009769CF" w:rsidRPr="00587963">
        <w:rPr>
          <w:rFonts w:ascii="Calibri" w:hAnsi="Calibri" w:cs="Calibri"/>
          <w:color w:val="000000" w:themeColor="text1"/>
          <w:lang w:val="hu-HU"/>
        </w:rPr>
        <w:t> (</w:t>
      </w:r>
      <w:hyperlink r:id="rId6" w:history="1"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erscharter.eu</w:t>
        </w:r>
      </w:hyperlink>
      <w:r w:rsidR="009769CF" w:rsidRPr="00587963">
        <w:rPr>
          <w:rFonts w:ascii="Calibri" w:hAnsi="Calibri" w:cs="Calibri"/>
          <w:color w:val="000000" w:themeColor="text1"/>
          <w:lang w:val="hu-HU"/>
        </w:rPr>
        <w:t>);</w:t>
      </w:r>
    </w:p>
    <w:p w14:paraId="2686BBE0" w14:textId="4E0767EF" w:rsidR="009769CF" w:rsidRPr="00587963" w:rsidRDefault="0043505E" w:rsidP="009769CF">
      <w:pPr>
        <w:numPr>
          <w:ilvl w:val="0"/>
          <w:numId w:val="4"/>
        </w:numPr>
        <w:spacing w:after="0" w:line="238" w:lineRule="atLeast"/>
        <w:ind w:left="1241" w:firstLine="0"/>
        <w:rPr>
          <w:color w:val="000000" w:themeColor="text1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>kövesse közösségi média felületeinket</w:t>
      </w:r>
      <w:r w:rsidR="009769CF" w:rsidRPr="00587963">
        <w:rPr>
          <w:rFonts w:ascii="Calibri" w:hAnsi="Calibri" w:cs="Calibri"/>
          <w:color w:val="000000" w:themeColor="text1"/>
          <w:lang w:val="hu-HU"/>
        </w:rPr>
        <w:t>: [</w:t>
      </w:r>
      <w:hyperlink r:id="rId7" w:history="1"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Twitter</w:t>
        </w:r>
      </w:hyperlink>
      <w:r w:rsidR="009769CF" w:rsidRPr="00587963">
        <w:rPr>
          <w:rFonts w:ascii="Calibri" w:hAnsi="Calibri" w:cs="Calibri"/>
          <w:color w:val="000000" w:themeColor="text1"/>
          <w:lang w:val="hu-HU"/>
        </w:rPr>
        <w:t xml:space="preserve"> és </w:t>
      </w:r>
      <w:hyperlink r:id="rId8" w:history="1"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Facebook</w:t>
        </w:r>
      </w:hyperlink>
      <w:r w:rsidR="009769CF" w:rsidRPr="00587963">
        <w:rPr>
          <w:rFonts w:ascii="Calibri" w:hAnsi="Calibri" w:cs="Calibri"/>
          <w:color w:val="000000" w:themeColor="text1"/>
          <w:lang w:val="hu-HU"/>
        </w:rPr>
        <w:t>];</w:t>
      </w:r>
    </w:p>
    <w:p w14:paraId="19E24649" w14:textId="5CD66135" w:rsidR="009769CF" w:rsidRPr="00587963" w:rsidRDefault="0043505E" w:rsidP="009769CF">
      <w:pPr>
        <w:numPr>
          <w:ilvl w:val="0"/>
          <w:numId w:val="4"/>
        </w:numPr>
        <w:spacing w:line="238" w:lineRule="atLeast"/>
        <w:ind w:left="1241" w:firstLine="0"/>
        <w:rPr>
          <w:color w:val="000000" w:themeColor="text1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>keresse fel ügyfélszolgálatunkat</w:t>
      </w:r>
      <w:r w:rsidR="009769CF" w:rsidRPr="00587963">
        <w:rPr>
          <w:rFonts w:ascii="Calibri" w:hAnsi="Calibri" w:cs="Calibri"/>
          <w:color w:val="000000" w:themeColor="text1"/>
          <w:lang w:val="hu-HU"/>
        </w:rPr>
        <w:t> (</w:t>
      </w:r>
      <w:hyperlink r:id="rId9" w:history="1"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ERSC-helpdesk@ricardo.com</w:t>
        </w:r>
      </w:hyperlink>
      <w:r w:rsidR="009769CF" w:rsidRPr="00587963">
        <w:rPr>
          <w:rFonts w:ascii="Calibri" w:hAnsi="Calibri" w:cs="Calibri"/>
          <w:color w:val="000000" w:themeColor="text1"/>
          <w:lang w:val="hu-HU"/>
        </w:rPr>
        <w:t>).</w:t>
      </w:r>
    </w:p>
    <w:p w14:paraId="18AF240E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</w:p>
    <w:p w14:paraId="1206F625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jc w:val="both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Megjegyzések a szerkesztőhöz:</w:t>
      </w:r>
    </w:p>
    <w:p w14:paraId="301DA0BD" w14:textId="7365F2BC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jc w:val="both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Az Európai Közúti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Közlekedésbiztonsági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Chartát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</w:t>
      </w:r>
      <w:hyperlink r:id="rId10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Ricardo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 irányítja a 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Mobilitás- és Közlekedéspolitikai Főigazgatóság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megbízásából, a </w:t>
      </w:r>
      <w:hyperlink r:id="rId11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Vias Intézettel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partnerségben, amely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koordinálja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és támogatja a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Nemzeti Képviselők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hálózatát.</w:t>
      </w:r>
    </w:p>
    <w:p w14:paraId="7BAC4E72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A Chartáról:</w:t>
      </w:r>
    </w:p>
    <w:p w14:paraId="1C4A58D0" w14:textId="5ACAF695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Az Európai Bizottság által vezetett Európai Közúti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Közlekedésb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iztonsági Charta a legnagyobb civil társadalmi platform a közúti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közlekedés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biztonság terén. A mai napig több mint 4000 állami és 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lastRenderedPageBreak/>
        <w:t xml:space="preserve">magánvállalkozás kötelezte el magát a Charta mellett, és hajtott végre közúti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közlekedés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biztonsági intézkedéseket és kezdeményezéseket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megcélozva ezzel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tagjai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t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, alkalmazottai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t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és a civil társadalom többi </w:t>
      </w:r>
      <w:r w:rsidR="0043505E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részét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. Eze</w:t>
      </w:r>
      <w:r w:rsidR="00514966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n 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különféle</w:t>
      </w:r>
      <w:r w:rsidR="00637231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szervezetek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együtt olyan közösséget alkotnak, amelyben a tagok megoszthatják egymással szakértelmüket és </w:t>
      </w:r>
      <w:r w:rsidR="00637231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tevékenységeiket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,</w:t>
      </w:r>
      <w:r w:rsidR="00637231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</w:t>
      </w:r>
      <w:r w:rsidR="0089140F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>tanulva egymástól és</w:t>
      </w:r>
      <w:r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inspirálva</w:t>
      </w:r>
      <w:r w:rsidR="0089140F" w:rsidRPr="00587963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  <w:lang w:val="hu-HU"/>
        </w:rPr>
        <w:t xml:space="preserve"> egymást.</w:t>
      </w:r>
    </w:p>
    <w:p w14:paraId="6B3DDE87" w14:textId="49264E81" w:rsidR="009769CF" w:rsidRPr="00587963" w:rsidRDefault="009769CF" w:rsidP="009769CF">
      <w:pPr>
        <w:pStyle w:val="NormalWeb"/>
        <w:spacing w:before="0"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Tagjaink </w:t>
      </w:r>
      <w:r w:rsidR="0051496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tevékenységei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megerősítették a közlekedésbiztonság kultúráját Európa-szerte, </w:t>
      </w:r>
      <w:r w:rsidR="0051496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előremozdították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balesetek okainak </w:t>
      </w:r>
      <w:r w:rsidR="0051496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meg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ismer</w:t>
      </w:r>
      <w:r w:rsidR="0051496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ését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, és segítettek megelőző intézkedések és megoldások kialakításában.</w:t>
      </w:r>
    </w:p>
    <w:p w14:paraId="32C671E8" w14:textId="60315F49" w:rsidR="00A67407" w:rsidRPr="00587963" w:rsidRDefault="009769CF" w:rsidP="009769CF">
      <w:pPr>
        <w:pStyle w:val="NormalWeb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Charta 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tagjai</w:t>
      </w:r>
      <w:r w:rsidR="00A67407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nak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sokszínű közösségét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vállalatok, egyesületek, helyi hatóságok, kutatóintézetek, egyetemek és iskolák alkotják . </w:t>
      </w:r>
      <w:r w:rsidR="00A67407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Valamennyi elkötelezett szervezet valódi elismerést kap, és weboldalunkat platformként használhatja szaktudásának és tevékenységeinek megosztására, lehetővé téve másoknak a </w:t>
      </w:r>
      <w:r w:rsidR="00A67407" w:rsidRPr="00587963">
        <w:rPr>
          <w:rFonts w:ascii="Calibri" w:hAnsi="Calibri" w:cs="Calibri"/>
          <w:b/>
          <w:color w:val="000000" w:themeColor="text1"/>
          <w:sz w:val="22"/>
          <w:szCs w:val="22"/>
          <w:lang w:val="hu-HU"/>
        </w:rPr>
        <w:t>tanulást és az inspirálódást</w:t>
      </w:r>
      <w:r w:rsidR="00A67407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</w:t>
      </w:r>
    </w:p>
    <w:p w14:paraId="671C22F1" w14:textId="77777777" w:rsidR="009769CF" w:rsidRPr="00587963" w:rsidRDefault="009769CF" w:rsidP="009769CF">
      <w:pPr>
        <w:pStyle w:val="NormalWeb"/>
        <w:spacing w:before="0"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Charta célja különösen:</w:t>
      </w:r>
    </w:p>
    <w:p w14:paraId="1A6B59C9" w14:textId="39B3CE19" w:rsidR="00A67407" w:rsidRPr="00587963" w:rsidRDefault="00A67407" w:rsidP="00587963">
      <w:pPr>
        <w:pStyle w:val="ListParagraph"/>
        <w:numPr>
          <w:ilvl w:val="0"/>
          <w:numId w:val="7"/>
        </w:numPr>
        <w:spacing w:before="100" w:after="100" w:line="240" w:lineRule="auto"/>
        <w:ind w:left="993"/>
        <w:jc w:val="both"/>
        <w:rPr>
          <w:color w:val="000000" w:themeColor="text1"/>
          <w:sz w:val="20"/>
          <w:szCs w:val="20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>ösztönözni és támogatni az európai szövetségeket, iskolákat, egyetemeket, minden típusú és méretű vállalatokat, valamint a helyi hatóságokat, hogy tegyenek lépéseket az európai közúti közlekedésbiztonság érdekében;</w:t>
      </w:r>
    </w:p>
    <w:p w14:paraId="58F6D88B" w14:textId="0064F30F" w:rsidR="009769CF" w:rsidRPr="00587963" w:rsidRDefault="00A67407" w:rsidP="00587963">
      <w:pPr>
        <w:pStyle w:val="ListParagraph"/>
        <w:numPr>
          <w:ilvl w:val="0"/>
          <w:numId w:val="7"/>
        </w:numPr>
        <w:spacing w:before="100" w:after="100" w:line="240" w:lineRule="auto"/>
        <w:ind w:left="993"/>
        <w:jc w:val="both"/>
        <w:rPr>
          <w:color w:val="000000" w:themeColor="text1"/>
          <w:sz w:val="20"/>
          <w:szCs w:val="20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 xml:space="preserve"> elismerni a civil társadalom hozzájárulását a közúti közlekedésbiztonsághoz</w:t>
      </w:r>
      <w:r w:rsidR="009769CF" w:rsidRPr="00587963">
        <w:rPr>
          <w:rFonts w:ascii="Calibri" w:hAnsi="Calibri" w:cs="Calibri"/>
          <w:color w:val="000000" w:themeColor="text1"/>
          <w:lang w:val="hu-HU"/>
        </w:rPr>
        <w:t>;</w:t>
      </w:r>
    </w:p>
    <w:p w14:paraId="10DE2451" w14:textId="3BCD31AF" w:rsidR="009769CF" w:rsidRPr="00587963" w:rsidRDefault="009769CF" w:rsidP="00587963">
      <w:pPr>
        <w:pStyle w:val="ListParagraph"/>
        <w:numPr>
          <w:ilvl w:val="0"/>
          <w:numId w:val="7"/>
        </w:numPr>
        <w:spacing w:before="100" w:after="100" w:line="240" w:lineRule="auto"/>
        <w:ind w:left="993"/>
        <w:jc w:val="both"/>
        <w:rPr>
          <w:color w:val="000000" w:themeColor="text1"/>
          <w:sz w:val="20"/>
          <w:szCs w:val="20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 xml:space="preserve">a civil társadalom tagjainak </w:t>
      </w:r>
      <w:r w:rsidR="00A67407" w:rsidRPr="00587963">
        <w:rPr>
          <w:rFonts w:ascii="Calibri" w:hAnsi="Calibri" w:cs="Calibri"/>
          <w:color w:val="000000" w:themeColor="text1"/>
          <w:lang w:val="hu-HU"/>
        </w:rPr>
        <w:t xml:space="preserve">segítése </w:t>
      </w:r>
      <w:r w:rsidRPr="00587963">
        <w:rPr>
          <w:rFonts w:ascii="Calibri" w:hAnsi="Calibri" w:cs="Calibri"/>
          <w:color w:val="000000" w:themeColor="text1"/>
          <w:lang w:val="hu-HU"/>
        </w:rPr>
        <w:t>az Európai Unióban a közúti közlekedésbiztonsági kérdésekkel kapcsolatos ismeretek megszerzésében és megosztásában ;</w:t>
      </w:r>
    </w:p>
    <w:p w14:paraId="05ED86FA" w14:textId="49F7D8FF" w:rsidR="00A67407" w:rsidRPr="00587963" w:rsidRDefault="00A67407" w:rsidP="00587963">
      <w:pPr>
        <w:pStyle w:val="ListParagraph"/>
        <w:numPr>
          <w:ilvl w:val="0"/>
          <w:numId w:val="7"/>
        </w:numPr>
        <w:spacing w:before="100" w:after="100" w:line="240" w:lineRule="auto"/>
        <w:ind w:left="993"/>
        <w:jc w:val="both"/>
        <w:rPr>
          <w:color w:val="000000" w:themeColor="text1"/>
          <w:sz w:val="20"/>
          <w:szCs w:val="20"/>
          <w:lang w:val="hu-HU"/>
        </w:rPr>
      </w:pPr>
      <w:r w:rsidRPr="00587963">
        <w:rPr>
          <w:rFonts w:ascii="Calibri" w:hAnsi="Calibri" w:cs="Calibri"/>
          <w:color w:val="000000" w:themeColor="text1"/>
          <w:lang w:val="hu-HU"/>
        </w:rPr>
        <w:t>a közúti közlekedésbiztonsági tapasztalatok és gyakorlatok átadásáért folytatott valódi párbeszéd megkönnyítése az Európai Unió irányításának minden szintjén.</w:t>
      </w:r>
    </w:p>
    <w:p w14:paraId="3AD51B66" w14:textId="77777777" w:rsidR="00A67407" w:rsidRPr="00587963" w:rsidRDefault="00A67407" w:rsidP="00587963">
      <w:pPr>
        <w:pStyle w:val="ListParagraph"/>
        <w:spacing w:before="100" w:after="100" w:line="240" w:lineRule="auto"/>
        <w:ind w:left="993"/>
        <w:jc w:val="both"/>
        <w:rPr>
          <w:color w:val="000000" w:themeColor="text1"/>
          <w:sz w:val="20"/>
          <w:szCs w:val="20"/>
          <w:lang w:val="hu-HU"/>
        </w:rPr>
      </w:pPr>
    </w:p>
    <w:p w14:paraId="3D4AF95A" w14:textId="6F201E8C" w:rsidR="009769CF" w:rsidRPr="00587963" w:rsidRDefault="00A67407" w:rsidP="00587963">
      <w:pPr>
        <w:spacing w:before="100" w:after="100" w:line="240" w:lineRule="auto"/>
        <w:jc w:val="both"/>
        <w:rPr>
          <w:color w:val="000000" w:themeColor="text1"/>
          <w:sz w:val="27"/>
          <w:szCs w:val="27"/>
          <w:lang w:val="hu-HU"/>
        </w:rPr>
      </w:pPr>
      <w:r w:rsidRPr="00587963" w:rsidDel="00A67407">
        <w:rPr>
          <w:rFonts w:ascii="Calibri" w:hAnsi="Calibri" w:cs="Calibri"/>
          <w:color w:val="000000" w:themeColor="text1"/>
          <w:lang w:val="hu-HU"/>
        </w:rPr>
        <w:t xml:space="preserve"> </w:t>
      </w:r>
      <w:r w:rsidR="009769CF" w:rsidRPr="00587963">
        <w:rPr>
          <w:rFonts w:ascii="Calibri" w:hAnsi="Calibri" w:cs="Calibri"/>
          <w:color w:val="000000" w:themeColor="text1"/>
          <w:lang w:val="hu-HU"/>
        </w:rPr>
        <w:t>Együtt jelentős szerepet játszottunk a páneurópai erőfeszítésekben, hogy biztonságosabbá tegyük utainkat. </w:t>
      </w:r>
      <w:r w:rsidRPr="00587963">
        <w:rPr>
          <w:rFonts w:ascii="Calibri" w:hAnsi="Calibri" w:cs="Calibri"/>
          <w:color w:val="000000" w:themeColor="text1"/>
          <w:lang w:val="hu-HU"/>
        </w:rPr>
        <w:t xml:space="preserve">Az Európai Közúti Biztonsági Charta küldetése most ennek a közösségnek a további ösztönzése, támogatása és szélesítése, amelynek végső elképzelése szerint </w:t>
      </w:r>
      <w:r w:rsidRPr="00587963">
        <w:rPr>
          <w:rFonts w:ascii="Calibri" w:hAnsi="Calibri" w:cs="Calibri"/>
          <w:b/>
          <w:color w:val="000000" w:themeColor="text1"/>
          <w:lang w:val="hu-HU"/>
        </w:rPr>
        <w:t>a halálesetek és a súlyos sérülések 50% -kal csökkenthetők 2020 és 2030 között</w:t>
      </w:r>
      <w:r w:rsidR="009769CF" w:rsidRPr="00587963">
        <w:rPr>
          <w:rFonts w:ascii="Calibri" w:hAnsi="Calibri" w:cs="Calibri"/>
          <w:b/>
          <w:bCs/>
          <w:color w:val="000000" w:themeColor="text1"/>
          <w:lang w:val="hu-HU"/>
        </w:rPr>
        <w:t>, és 2050-</w:t>
      </w:r>
      <w:r w:rsidRPr="00587963">
        <w:rPr>
          <w:rFonts w:ascii="Calibri" w:hAnsi="Calibri" w:cs="Calibri"/>
          <w:b/>
          <w:bCs/>
          <w:color w:val="000000" w:themeColor="text1"/>
          <w:lang w:val="hu-HU"/>
        </w:rPr>
        <w:t>re elérhető lesz, hogy</w:t>
      </w:r>
      <w:r w:rsidR="009769CF" w:rsidRPr="00587963">
        <w:rPr>
          <w:rFonts w:ascii="Calibri" w:hAnsi="Calibri" w:cs="Calibri"/>
          <w:b/>
          <w:bCs/>
          <w:color w:val="000000" w:themeColor="text1"/>
          <w:lang w:val="hu-HU"/>
        </w:rPr>
        <w:t xml:space="preserve"> ne </w:t>
      </w:r>
      <w:r w:rsidRPr="00587963">
        <w:rPr>
          <w:rFonts w:ascii="Calibri" w:hAnsi="Calibri" w:cs="Calibri"/>
          <w:b/>
          <w:bCs/>
          <w:color w:val="000000" w:themeColor="text1"/>
          <w:lang w:val="hu-HU"/>
        </w:rPr>
        <w:t>legyenek</w:t>
      </w:r>
      <w:r w:rsidR="009769CF" w:rsidRPr="00587963">
        <w:rPr>
          <w:rFonts w:ascii="Calibri" w:hAnsi="Calibri" w:cs="Calibri"/>
          <w:b/>
          <w:bCs/>
          <w:color w:val="000000" w:themeColor="text1"/>
          <w:lang w:val="hu-HU"/>
        </w:rPr>
        <w:t xml:space="preserve"> halálesetek és súlyos sérülések az uniós utakon.</w:t>
      </w:r>
    </w:p>
    <w:p w14:paraId="004CB5CF" w14:textId="2CFFCC4F" w:rsidR="009769CF" w:rsidRPr="00587963" w:rsidRDefault="00122D7C" w:rsidP="009769CF">
      <w:pPr>
        <w:pStyle w:val="NormalWeb"/>
        <w:spacing w:before="0"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Függetlenül attól, hogy szervezetének van-e már komoly tapasztalata, vagy csak most indít közlekedésbiztonsági programot, az </w:t>
      </w:r>
      <w:r w:rsidRPr="00587963">
        <w:rPr>
          <w:rFonts w:ascii="Calibri" w:hAnsi="Calibri" w:cs="Calibri"/>
          <w:b/>
          <w:color w:val="000000" w:themeColor="text1"/>
          <w:sz w:val="22"/>
          <w:szCs w:val="22"/>
          <w:lang w:val="hu-HU"/>
        </w:rPr>
        <w:t>Európai Közúti Közlekedésbiztonsági Charta nyitva áll az Ön szervezete számára, hogy csatlakozzon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és hozzájáruljon a közúti balesetek számának csökkentéséhez – hozzájárulva ezzel az európai utak biztonságosabbá tételéhez. </w:t>
      </w:r>
      <w:hyperlink r:id="rId12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Itt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 megtudhatja, hogyan írhatja alá a kötelezettségvállalást és hogyan csatlakozhat a Charta közösségéhez</w:t>
      </w:r>
      <w:r w:rsidR="009769CF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.</w:t>
      </w:r>
    </w:p>
    <w:p w14:paraId="19E77DF3" w14:textId="6651D158" w:rsidR="009769CF" w:rsidRPr="00587963" w:rsidRDefault="009769CF" w:rsidP="009769CF">
      <w:pPr>
        <w:pStyle w:val="NormalWeb"/>
        <w:spacing w:beforeAutospacing="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Közúti </w:t>
      </w:r>
      <w:r w:rsidR="00122D7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közlekedés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biztonság Európában:</w:t>
      </w:r>
    </w:p>
    <w:p w14:paraId="60D78C26" w14:textId="006DD992" w:rsidR="009769CF" w:rsidRPr="00587963" w:rsidRDefault="009769CF" w:rsidP="009769CF">
      <w:pPr>
        <w:pStyle w:val="NormalWeb"/>
        <w:spacing w:beforeAutospacing="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Az Európai Bizottság</w:t>
      </w:r>
      <w:r w:rsidR="00122D7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által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2021. április 20-án nyilvánosságra </w:t>
      </w:r>
      <w:r w:rsidR="00122D7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hozott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új adatok</w:t>
      </w:r>
      <w:r w:rsidR="00122D7C" w:rsidRPr="00587963" w:rsidDel="00122D7C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azt mutatják, hogy a 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közúti halálesetek</w:t>
      </w:r>
      <w:r w:rsidR="00122D7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száma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rekord alacsonyra csökkent 2020-ban,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mivel a forgalom jelentősen csökkent. A számokat az </w:t>
      </w:r>
      <w:hyperlink r:id="rId13" w:tgtFrame="_blank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EU Közúti </w:t>
        </w:r>
        <w:r w:rsidR="00122D7C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Közlekedésb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iztonsági Eredmények Konferenciája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alkalmával tették közzé. </w:t>
      </w:r>
      <w:r w:rsidR="00122D7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konferencia összehozta a döntéshozókat, a civil társadalmat és a közlekedésbiztonsági szakembereket, hogy felmérjék az EU-ban a közúti közlekedés biztonságának jelenlegi helyzetét és azt, hogy miként lehetne a legjobban megtenni a következő lépéseket a „Vision Zero” felé.</w:t>
      </w:r>
    </w:p>
    <w:p w14:paraId="482870D7" w14:textId="6E76593F" w:rsidR="009769CF" w:rsidRPr="00587963" w:rsidRDefault="009769CF" w:rsidP="009769CF">
      <w:pPr>
        <w:pStyle w:val="NormalWeb"/>
        <w:spacing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közzétett előzetes adatok 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szerint 2019-hez képest csaknem 4000-rel kevesebb ember vesztette életét az uniós utakon 2020-ban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. Becslések szerint tavaly 18 800 ember halt meg közúti közlekedési 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balesetekben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, ami példátlan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,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éves 17% -os 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csökkenést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jelent 2019-hez képest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. Ez azonban kevesebb volt, mint EU-szerte 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forgalom rohamos visszaesésének mértéke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</w:t>
      </w:r>
    </w:p>
    <w:p w14:paraId="4A0BE75C" w14:textId="6795B290" w:rsidR="00507EDC" w:rsidRPr="00587963" w:rsidRDefault="009769CF" w:rsidP="009769CF">
      <w:pPr>
        <w:pStyle w:val="NormalWeb"/>
        <w:spacing w:beforeAutospacing="0" w:after="15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Az elmúlt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évtizedben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,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2010 és 2020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között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, a közúti halálesetek száma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36%-kal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csökkent.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Ez 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elmaradt 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attól 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az évtized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re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kitűzött céltól, hogy 50% -kal kevesebb halálesetet 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következzen be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.</w:t>
      </w:r>
      <w:r w:rsidR="00507EDC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 xml:space="preserve"> </w:t>
      </w:r>
      <w:r w:rsidR="00507EDC" w:rsidRPr="00587963">
        <w:rPr>
          <w:rFonts w:ascii="Calibri" w:hAnsi="Calibri" w:cs="Calibri"/>
          <w:bCs/>
          <w:color w:val="000000" w:themeColor="text1"/>
          <w:sz w:val="22"/>
          <w:szCs w:val="22"/>
          <w:lang w:val="hu-HU"/>
        </w:rPr>
        <w:t>Ugyanakkor az 1 millió lakosra jutó 42 közúti halálesettel az EU nagyon kedvezően viszonyul a 180-nál nagyobb világátlaghoz.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Az előzetes adatok alapján 18 tagállam regisztrálta az eddigi legalacsonyabb közúti 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lastRenderedPageBreak/>
        <w:t>halálesetek számát 2020-ban. Míg a halálesetek száma 2020-ban átlagosan 17% -kal csökkent 2019-hez képest, ez a mérséklődés korántsem volt egységes. A legnagyobb (20%-os vagy annál nagyobb) csökkenés Belgiumban, Bulgáriában, Dániában, Spanyolországban, Franciaországban, Horvátországban, Olaszországban, Magyarországon, Máltán és Szlovéniában történt. Ezzel szemben öt tagállamban (Észtország, Írország, Lettország, Luxemburg és Finnország) nőtt a halálesetek száma - bár a kis országok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ban mért adatok általában évről évre ingadoznak</w:t>
      </w:r>
      <w:r w:rsidR="00507EDC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</w:t>
      </w:r>
    </w:p>
    <w:p w14:paraId="3F71BC79" w14:textId="2E61D28A" w:rsidR="009769CF" w:rsidRPr="00587963" w:rsidRDefault="009769CF" w:rsidP="009769CF">
      <w:pPr>
        <w:pStyle w:val="NormalWeb"/>
        <w:spacing w:beforeAutospacing="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 2020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 évi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februári </w:t>
      </w:r>
      <w:hyperlink r:id="rId14" w:tgtFrame="_blank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Stockholmi Nyilatkozat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megalapozta a további globális politikai elkötelezettséget az </w:t>
      </w:r>
      <w:hyperlink r:id="rId15" w:tgtFrame="_blank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ENSZ Közgyűlésének a közúti biztonságról szóló határozatával, amely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a 2021–2030 közötti időszakot </w:t>
      </w:r>
      <w:hyperlink r:id="rId16" w:tgtFrame="_blank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a közúti közlekedés biztonságának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második évtizedévé nyilvánítja. 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Ez magában foglalja az új csökkentési célkitűzést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2030-ra. </w:t>
      </w:r>
      <w:r w:rsidRPr="00587963">
        <w:rPr>
          <w:rFonts w:ascii="Calibri" w:hAnsi="Calibri" w:cs="Calibri"/>
          <w:color w:val="000000" w:themeColor="text1"/>
          <w:sz w:val="22"/>
          <w:szCs w:val="22"/>
          <w:u w:val="single"/>
          <w:lang w:val="hu-HU"/>
        </w:rPr>
        <w:t>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 </w:t>
      </w:r>
    </w:p>
    <w:p w14:paraId="09583930" w14:textId="71625EE5" w:rsidR="009769CF" w:rsidRPr="00587963" w:rsidRDefault="009769CF" w:rsidP="009769CF">
      <w:pPr>
        <w:pStyle w:val="NormalWeb"/>
        <w:spacing w:beforeAutospacing="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Ebben a tekintetben az EU már átvette a vezetést és új, 50% -os csökkentési célt tűzött ki maga elé a halálesetek - és 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most előszőr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a súlyos sérülések - 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csökkentésére 2030-ig. Ezt az Európai Bizottság </w:t>
      </w:r>
      <w:hyperlink r:id="rId17" w:tgtFrame="_blank" w:history="1"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K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özúti </w:t>
        </w:r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S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tratégiai </w:t>
        </w:r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C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selekvési </w:t>
        </w:r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T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erve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és az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  <w:hyperlink r:id="rId18" w:tgtFrame="_blank" w:history="1"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EU </w:t>
        </w:r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2021-2030 közötti k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özlekedésbiztonsági </w:t>
        </w:r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p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olitikai keret</w:t>
        </w:r>
        <w:r w:rsidR="002E5E05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e</w:t>
        </w:r>
      </w:hyperlink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rögzítette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2018-ban és 2019</w:t>
      </w:r>
      <w:r w:rsidR="002E5E0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-ben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</w:t>
      </w:r>
    </w:p>
    <w:p w14:paraId="1896A801" w14:textId="4B06E83A" w:rsidR="009769CF" w:rsidRPr="00587963" w:rsidRDefault="009769CF" w:rsidP="009769CF">
      <w:pPr>
        <w:pStyle w:val="NormalWeb"/>
        <w:spacing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terv ambiciózus közlekedésbiztonsági terveket is tartalmaz, 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annak elérése érdekében, hogy 2050-re a közúti halálesetek száma nulla legyen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- „Vision Zero”. Ez magában foglal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ja a legfontosabb teljesítménymutatók meghatározását a következőkhöz:</w:t>
      </w:r>
      <w:r w:rsidR="006D18C6" w:rsidRPr="00587963" w:rsidDel="006D18C6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biztonságos utak és útszélek; biztonságos járművek; biztonságos úthasználat, ideértve a biztonságos sebességet, a józan vezetést, a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vezetés közbeni figyelemelterelés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megakadályozását,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valamint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biztonsági övek és védőfelszerelések használatát; 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és a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gyors és hatékony baleset utáni ellátás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</w:t>
      </w:r>
    </w:p>
    <w:p w14:paraId="66B7DF5D" w14:textId="6D5D509B" w:rsidR="009769CF" w:rsidRPr="00587963" w:rsidRDefault="009769CF" w:rsidP="009769CF">
      <w:pPr>
        <w:pStyle w:val="NormalWeb"/>
        <w:spacing w:beforeAutospacing="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Adina Vălean ,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özlekedésért felelős 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B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iztos kijelentette: „Bár az európai utak továbbra is a világ 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legbiztonságosabb utai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, a 2020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 évi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nagy csökkenés ellenére az elmúlt évtizedben elmaradtunk </w:t>
      </w:r>
      <w:r w:rsidR="006D18C6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célkitűzésünktől . Összehangolt fellépésre van szükség </w:t>
      </w:r>
      <w:r w:rsidR="008C32E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a COVID-19 előtti szintre való visszaesés 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megakadályozásához.</w:t>
      </w:r>
      <w:r w:rsidR="008C32EB" w:rsidRPr="00587963" w:rsidDel="008C32EB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</w:t>
      </w:r>
      <w:hyperlink r:id="rId19" w:tgtFrame="_blank" w:history="1">
        <w:r w:rsidR="008C32EB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F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enntartható és </w:t>
        </w:r>
        <w:r w:rsidR="008C32EB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I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 xml:space="preserve">ntelligens Mobilitási </w:t>
        </w:r>
        <w:r w:rsidR="008C32EB"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S</w:t>
        </w:r>
        <w:r w:rsidRPr="00587963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val="hu-HU"/>
          </w:rPr>
          <w:t>tratégi</w:t>
        </w:r>
      </w:hyperlink>
      <w:r w:rsidR="008C32EB" w:rsidRPr="00587963">
        <w:rPr>
          <w:rStyle w:val="Hyperlink"/>
          <w:rFonts w:ascii="Calibri" w:hAnsi="Calibri" w:cs="Calibri"/>
          <w:color w:val="000000" w:themeColor="text1"/>
          <w:sz w:val="22"/>
          <w:szCs w:val="22"/>
          <w:lang w:val="hu-HU"/>
        </w:rPr>
        <w:t>ánkban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  </w:t>
      </w:r>
      <w:r w:rsidR="008C32E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megerősítettük elkötelezettségünket az EU közlekedésbiztonsági stratégiájának végrehajtása, és a közlekedési halálesetek számának nullához való közelítése iránt”.</w:t>
      </w:r>
    </w:p>
    <w:p w14:paraId="3700EB0C" w14:textId="77777777" w:rsidR="009769CF" w:rsidRPr="00587963" w:rsidRDefault="009769CF" w:rsidP="009769CF">
      <w:pPr>
        <w:pStyle w:val="NormalWeb"/>
        <w:spacing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A járvány hatása nehezen mérhető</w:t>
      </w:r>
    </w:p>
    <w:p w14:paraId="31E7A4B8" w14:textId="427C8F53" w:rsidR="008C32EB" w:rsidRPr="00587963" w:rsidRDefault="008C32EB" w:rsidP="009769CF">
      <w:pPr>
        <w:pStyle w:val="NormalWeb"/>
        <w:spacing w:beforeAutospacing="0" w:after="15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Bár a COVID-19 járvány miatt bekövetkezett alacsonyabb forgalom hatása a közúti balesetek számára egyértelmű, de egyben nehezen mérhető volt, az Amerikai Egyesült Államok előzetes adatai azt mutatják, hogy az alacsonyabb forgalom ellenére a halálesetek száma 2020-ban megugrott. Bizonyos uniós országokban az adatok azt mutatják, hogy ez a kockáztató magatartás (különösen a gyorshajtás) növekedésére vezethető vissza a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korlátozások időszakaiban.</w:t>
      </w:r>
    </w:p>
    <w:p w14:paraId="4B93461C" w14:textId="77777777" w:rsidR="009769CF" w:rsidRPr="00587963" w:rsidRDefault="009769CF" w:rsidP="009769CF">
      <w:pPr>
        <w:pStyle w:val="NormalWeb"/>
        <w:spacing w:beforeAutospacing="0" w:after="150" w:afterAutospacing="0"/>
        <w:jc w:val="both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A városi mobilitásra gyakorolt ​​hatás a COVID-19 eredményeként</w:t>
      </w:r>
    </w:p>
    <w:p w14:paraId="42E89DE3" w14:textId="71459B57" w:rsidR="0068260B" w:rsidRPr="00587963" w:rsidRDefault="009769CF" w:rsidP="009769CF">
      <w:pPr>
        <w:pStyle w:val="NormalWeb"/>
        <w:spacing w:beforeAutospacing="0" w:after="150" w:afterAutospacing="0"/>
        <w:jc w:val="both"/>
        <w:rPr>
          <w:rFonts w:ascii="Calibri" w:hAnsi="Calibri" w:cs="Calibri"/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A kerékpározás népszerűség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jelentős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en megnövekedett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, és a világ számos városa (ideiglenesen)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helyet biztosított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az útteste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n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a kerékpárosok és a gyalogosok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részére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. Ez a biztató fejlődés jelentős pozitív hatással lehet a levegő minőségére és az éghajlatváltozásra, ugyanakkor új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közlekedésbiztonsági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kihívásokat is jelent. 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EU-szerte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a városi területeken bekövetkezett közúti halálesetek körülbelül 70%-a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védtelen közlekedőket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érint, beleértve a gyalogosokat, a motorosokat és a kerékpárosokat is.</w:t>
      </w:r>
      <w:r w:rsidR="0068260B" w:rsidRPr="00587963">
        <w:rPr>
          <w:color w:val="000000" w:themeColor="text1"/>
        </w:rPr>
        <w:t xml:space="preserve">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Ezért a városokban a közúti biztonság kezelése kulcsfontosságú terület, és az Európai Bizottság azt kívánja biztosítani, hogy a városi mobilitási tervezés minden szakaszában figyelembe vegyék a közlekedésbiztonságot. A közlekedésbiztonság fontos eleme lesz az új Városi Mobilitási Kezdeményezésnek, amelyet az Európai Bizottság még ebben az évben előterjeszt.</w:t>
      </w:r>
      <w:r w:rsidR="0068260B" w:rsidRPr="00587963">
        <w:rPr>
          <w:color w:val="000000" w:themeColor="text1"/>
        </w:rPr>
        <w:t xml:space="preserve">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Ebben a tekintetben két európai főváros, Helsinki és Oslo </w:t>
      </w:r>
      <w:r w:rsidR="00E46C4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2019-ben 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elérte a gyalogosok és kerékpárosok nulla halálesetének mérföldkövét, </w:t>
      </w:r>
      <w:r w:rsidR="00E46C4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melynek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 xml:space="preserve"> eléréséhez a sebess</w:t>
      </w:r>
      <w:r w:rsidR="00E46C4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égcsökkentést, mint elengedhetetlen elemet emelték ki</w:t>
      </w:r>
      <w:r w:rsidR="0068260B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.</w:t>
      </w:r>
    </w:p>
    <w:p w14:paraId="41654D23" w14:textId="02A5CE2E" w:rsidR="009769CF" w:rsidRPr="00587963" w:rsidRDefault="009769CF" w:rsidP="009769CF">
      <w:pPr>
        <w:pStyle w:val="NormalWeb"/>
        <w:spacing w:beforeAutospacing="0" w:after="150" w:afterAutospacing="0"/>
        <w:rPr>
          <w:color w:val="000000" w:themeColor="text1"/>
          <w:sz w:val="27"/>
          <w:szCs w:val="27"/>
          <w:lang w:val="hu-HU"/>
        </w:rPr>
      </w:pP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További információ</w:t>
      </w:r>
      <w:r w:rsidR="00E46C45"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k</w:t>
      </w:r>
      <w:r w:rsidRPr="00587963">
        <w:rPr>
          <w:rFonts w:ascii="Calibri" w:hAnsi="Calibri" w:cs="Calibri"/>
          <w:b/>
          <w:bCs/>
          <w:color w:val="000000" w:themeColor="text1"/>
          <w:sz w:val="22"/>
          <w:szCs w:val="22"/>
          <w:lang w:val="hu-HU"/>
        </w:rPr>
        <w:t>ért 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, kérjük, látogasson el az alábbi </w:t>
      </w:r>
      <w:r w:rsidR="00E46C45"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honlapokra</w:t>
      </w: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:</w:t>
      </w:r>
    </w:p>
    <w:p w14:paraId="664D0138" w14:textId="2DE3747B" w:rsidR="009769CF" w:rsidRPr="00587963" w:rsidRDefault="00507EDC" w:rsidP="009769CF">
      <w:pPr>
        <w:numPr>
          <w:ilvl w:val="0"/>
          <w:numId w:val="6"/>
        </w:numPr>
        <w:spacing w:after="150" w:line="240" w:lineRule="auto"/>
        <w:ind w:left="1236" w:firstLine="0"/>
        <w:rPr>
          <w:color w:val="000000" w:themeColor="text1"/>
          <w:sz w:val="20"/>
          <w:szCs w:val="20"/>
          <w:lang w:val="hu-HU"/>
        </w:rPr>
      </w:pPr>
      <w:hyperlink r:id="rId20" w:tgtFrame="_blank" w:history="1"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Az Európai Bizottság közúti közlekedésbiztonsági munkája, valamint az EU köz</w:t>
        </w:r>
        <w:r w:rsidR="00E46C45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lekedés</w:t>
        </w:r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biztonsági statisztikái és elemzései</w:t>
        </w:r>
      </w:hyperlink>
    </w:p>
    <w:p w14:paraId="3334A274" w14:textId="5FE255AB" w:rsidR="009769CF" w:rsidRPr="00587963" w:rsidRDefault="00507EDC" w:rsidP="009769CF">
      <w:pPr>
        <w:numPr>
          <w:ilvl w:val="0"/>
          <w:numId w:val="6"/>
        </w:numPr>
        <w:spacing w:after="150" w:line="240" w:lineRule="auto"/>
        <w:ind w:left="1236" w:firstLine="0"/>
        <w:rPr>
          <w:color w:val="000000" w:themeColor="text1"/>
          <w:sz w:val="20"/>
          <w:szCs w:val="20"/>
          <w:lang w:val="hu-HU"/>
        </w:rPr>
      </w:pPr>
      <w:hyperlink r:id="rId21" w:tgtFrame="_blank" w:history="1"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 xml:space="preserve">2020-as közúti </w:t>
        </w:r>
        <w:r w:rsidR="00E46C45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közlekedés</w:t>
        </w:r>
        <w:r w:rsidR="009769CF" w:rsidRPr="00587963">
          <w:rPr>
            <w:rStyle w:val="Hyperlink"/>
            <w:rFonts w:ascii="Calibri" w:hAnsi="Calibri" w:cs="Calibri"/>
            <w:color w:val="000000" w:themeColor="text1"/>
            <w:lang w:val="hu-HU"/>
          </w:rPr>
          <w:t>biztonsági statisztika: mi áll a számok mögött</w:t>
        </w:r>
      </w:hyperlink>
      <w:r w:rsidR="009769CF" w:rsidRPr="00587963">
        <w:rPr>
          <w:rFonts w:ascii="Calibri" w:hAnsi="Calibri" w:cs="Calibri"/>
          <w:color w:val="000000" w:themeColor="text1"/>
          <w:lang w:val="hu-HU"/>
        </w:rPr>
        <w:t> ?</w:t>
      </w:r>
    </w:p>
    <w:p w14:paraId="0548FF35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18"/>
          <w:szCs w:val="18"/>
          <w:lang w:val="hu-HU"/>
        </w:rPr>
      </w:pPr>
      <w:r w:rsidRPr="00587963">
        <w:rPr>
          <w:rFonts w:ascii="Calibri" w:hAnsi="Calibri" w:cs="Calibri"/>
          <w:color w:val="000000" w:themeColor="text1"/>
          <w:sz w:val="18"/>
          <w:szCs w:val="18"/>
          <w:lang w:val="hu-HU"/>
        </w:rPr>
        <w:t> </w:t>
      </w:r>
    </w:p>
    <w:p w14:paraId="5C73372B" w14:textId="09F86E40" w:rsidR="009769CF" w:rsidRPr="00587963" w:rsidRDefault="009769CF" w:rsidP="009769CF">
      <w:pPr>
        <w:pStyle w:val="Heading4"/>
        <w:spacing w:before="150" w:beforeAutospacing="0" w:after="165" w:afterAutospacing="0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[VÉGE]</w:t>
      </w:r>
    </w:p>
    <w:p w14:paraId="4B185F30" w14:textId="77777777" w:rsidR="009769CF" w:rsidRPr="00587963" w:rsidRDefault="009769CF" w:rsidP="009769CF">
      <w:pPr>
        <w:pStyle w:val="NormalWeb"/>
        <w:spacing w:before="0" w:beforeAutospacing="0" w:after="160" w:afterAutospacing="0" w:line="238" w:lineRule="atLeast"/>
        <w:rPr>
          <w:color w:val="000000" w:themeColor="text1"/>
          <w:sz w:val="22"/>
          <w:szCs w:val="22"/>
          <w:lang w:val="hu-HU"/>
        </w:rPr>
      </w:pPr>
      <w:r w:rsidRPr="00587963">
        <w:rPr>
          <w:rFonts w:ascii="Calibri" w:hAnsi="Calibri" w:cs="Calibri"/>
          <w:color w:val="000000" w:themeColor="text1"/>
          <w:sz w:val="22"/>
          <w:szCs w:val="22"/>
          <w:lang w:val="hu-HU"/>
        </w:rPr>
        <w:t> </w:t>
      </w:r>
    </w:p>
    <w:p w14:paraId="178671F4" w14:textId="77777777" w:rsidR="00A605B0" w:rsidRPr="00587963" w:rsidRDefault="00A605B0" w:rsidP="009769CF">
      <w:pPr>
        <w:rPr>
          <w:color w:val="000000" w:themeColor="text1"/>
          <w:lang w:val="hu-HU"/>
        </w:rPr>
      </w:pPr>
    </w:p>
    <w:sectPr w:rsidR="00A605B0" w:rsidRPr="00587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7BA5"/>
    <w:multiLevelType w:val="hybridMultilevel"/>
    <w:tmpl w:val="62A029F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14C250F"/>
    <w:multiLevelType w:val="hybridMultilevel"/>
    <w:tmpl w:val="D624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6DA6"/>
    <w:multiLevelType w:val="multilevel"/>
    <w:tmpl w:val="84FE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EA73E7"/>
    <w:multiLevelType w:val="multilevel"/>
    <w:tmpl w:val="694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DF18E6"/>
    <w:multiLevelType w:val="multilevel"/>
    <w:tmpl w:val="EC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A7586"/>
    <w:multiLevelType w:val="multilevel"/>
    <w:tmpl w:val="BC3E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27FE6"/>
    <w:multiLevelType w:val="multilevel"/>
    <w:tmpl w:val="FEB4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65"/>
    <w:rsid w:val="00002A25"/>
    <w:rsid w:val="00026BE3"/>
    <w:rsid w:val="000649C5"/>
    <w:rsid w:val="00075555"/>
    <w:rsid w:val="000A2265"/>
    <w:rsid w:val="000B5937"/>
    <w:rsid w:val="000D1216"/>
    <w:rsid w:val="000E1D84"/>
    <w:rsid w:val="00107DB9"/>
    <w:rsid w:val="00122D7C"/>
    <w:rsid w:val="00134B19"/>
    <w:rsid w:val="00146C40"/>
    <w:rsid w:val="0017786A"/>
    <w:rsid w:val="0018756D"/>
    <w:rsid w:val="001B15A5"/>
    <w:rsid w:val="001B4055"/>
    <w:rsid w:val="001B4C07"/>
    <w:rsid w:val="001C25EE"/>
    <w:rsid w:val="001D0F54"/>
    <w:rsid w:val="001D33FA"/>
    <w:rsid w:val="00206DC8"/>
    <w:rsid w:val="0020791A"/>
    <w:rsid w:val="0021546A"/>
    <w:rsid w:val="00215894"/>
    <w:rsid w:val="002172D8"/>
    <w:rsid w:val="002349C4"/>
    <w:rsid w:val="0023575E"/>
    <w:rsid w:val="00255BD7"/>
    <w:rsid w:val="0025622F"/>
    <w:rsid w:val="0026011E"/>
    <w:rsid w:val="00267C8F"/>
    <w:rsid w:val="0028582B"/>
    <w:rsid w:val="002A1025"/>
    <w:rsid w:val="002E5E05"/>
    <w:rsid w:val="002F160F"/>
    <w:rsid w:val="002F3AF3"/>
    <w:rsid w:val="002F78B5"/>
    <w:rsid w:val="00300BCE"/>
    <w:rsid w:val="00304AB6"/>
    <w:rsid w:val="00312B5C"/>
    <w:rsid w:val="003157BC"/>
    <w:rsid w:val="0038184C"/>
    <w:rsid w:val="003A0F29"/>
    <w:rsid w:val="003B6FC1"/>
    <w:rsid w:val="003C675B"/>
    <w:rsid w:val="003D084A"/>
    <w:rsid w:val="003E0B49"/>
    <w:rsid w:val="003F2F99"/>
    <w:rsid w:val="00404103"/>
    <w:rsid w:val="0043505E"/>
    <w:rsid w:val="0047299A"/>
    <w:rsid w:val="004763E8"/>
    <w:rsid w:val="004A6526"/>
    <w:rsid w:val="004B1B8D"/>
    <w:rsid w:val="004D32F3"/>
    <w:rsid w:val="005020BD"/>
    <w:rsid w:val="00507EDC"/>
    <w:rsid w:val="00514966"/>
    <w:rsid w:val="00535D77"/>
    <w:rsid w:val="005429A9"/>
    <w:rsid w:val="005456C6"/>
    <w:rsid w:val="005746A4"/>
    <w:rsid w:val="00587963"/>
    <w:rsid w:val="00591537"/>
    <w:rsid w:val="00592A90"/>
    <w:rsid w:val="005A4160"/>
    <w:rsid w:val="005C02D6"/>
    <w:rsid w:val="005D1C2E"/>
    <w:rsid w:val="005F57FA"/>
    <w:rsid w:val="006109EC"/>
    <w:rsid w:val="006244CA"/>
    <w:rsid w:val="00625379"/>
    <w:rsid w:val="006332E5"/>
    <w:rsid w:val="00637231"/>
    <w:rsid w:val="00672EB6"/>
    <w:rsid w:val="00681785"/>
    <w:rsid w:val="0068260B"/>
    <w:rsid w:val="006C66B2"/>
    <w:rsid w:val="006D18C6"/>
    <w:rsid w:val="00711D61"/>
    <w:rsid w:val="00711D85"/>
    <w:rsid w:val="00721ED1"/>
    <w:rsid w:val="00751AFA"/>
    <w:rsid w:val="00756F2D"/>
    <w:rsid w:val="00764820"/>
    <w:rsid w:val="0078505B"/>
    <w:rsid w:val="00786BDA"/>
    <w:rsid w:val="007A6381"/>
    <w:rsid w:val="007B00AF"/>
    <w:rsid w:val="007B5B44"/>
    <w:rsid w:val="007B74F0"/>
    <w:rsid w:val="00811E44"/>
    <w:rsid w:val="00827ADD"/>
    <w:rsid w:val="0084009C"/>
    <w:rsid w:val="0085614A"/>
    <w:rsid w:val="0089140F"/>
    <w:rsid w:val="008A26BB"/>
    <w:rsid w:val="008C32EB"/>
    <w:rsid w:val="00925E21"/>
    <w:rsid w:val="009342FD"/>
    <w:rsid w:val="00941BDA"/>
    <w:rsid w:val="009769CF"/>
    <w:rsid w:val="009903E6"/>
    <w:rsid w:val="00A026DE"/>
    <w:rsid w:val="00A04082"/>
    <w:rsid w:val="00A10E2F"/>
    <w:rsid w:val="00A175BB"/>
    <w:rsid w:val="00A17DAB"/>
    <w:rsid w:val="00A34D59"/>
    <w:rsid w:val="00A46839"/>
    <w:rsid w:val="00A605B0"/>
    <w:rsid w:val="00A67407"/>
    <w:rsid w:val="00A90A33"/>
    <w:rsid w:val="00A91C47"/>
    <w:rsid w:val="00A96481"/>
    <w:rsid w:val="00AA3A5E"/>
    <w:rsid w:val="00AB6387"/>
    <w:rsid w:val="00AB73E8"/>
    <w:rsid w:val="00AB748B"/>
    <w:rsid w:val="00AB7E26"/>
    <w:rsid w:val="00AD568E"/>
    <w:rsid w:val="00AE4BBF"/>
    <w:rsid w:val="00B22272"/>
    <w:rsid w:val="00B2779A"/>
    <w:rsid w:val="00B33426"/>
    <w:rsid w:val="00B33561"/>
    <w:rsid w:val="00B34426"/>
    <w:rsid w:val="00B35D46"/>
    <w:rsid w:val="00B5535D"/>
    <w:rsid w:val="00B61904"/>
    <w:rsid w:val="00B65146"/>
    <w:rsid w:val="00B729B9"/>
    <w:rsid w:val="00B72E2E"/>
    <w:rsid w:val="00B84C51"/>
    <w:rsid w:val="00B87DF7"/>
    <w:rsid w:val="00B92A20"/>
    <w:rsid w:val="00B95FB6"/>
    <w:rsid w:val="00BA4C7C"/>
    <w:rsid w:val="00BB4E1F"/>
    <w:rsid w:val="00BF4CAA"/>
    <w:rsid w:val="00C02DB1"/>
    <w:rsid w:val="00C132EF"/>
    <w:rsid w:val="00C17514"/>
    <w:rsid w:val="00C345FF"/>
    <w:rsid w:val="00C672B3"/>
    <w:rsid w:val="00C67ABE"/>
    <w:rsid w:val="00C702B5"/>
    <w:rsid w:val="00C7313E"/>
    <w:rsid w:val="00C752A2"/>
    <w:rsid w:val="00C853FE"/>
    <w:rsid w:val="00CE73C2"/>
    <w:rsid w:val="00D06D22"/>
    <w:rsid w:val="00D13D57"/>
    <w:rsid w:val="00D276FB"/>
    <w:rsid w:val="00D510F8"/>
    <w:rsid w:val="00D53205"/>
    <w:rsid w:val="00D84FCE"/>
    <w:rsid w:val="00DB3687"/>
    <w:rsid w:val="00E04495"/>
    <w:rsid w:val="00E045F3"/>
    <w:rsid w:val="00E167FD"/>
    <w:rsid w:val="00E33709"/>
    <w:rsid w:val="00E46C45"/>
    <w:rsid w:val="00E50433"/>
    <w:rsid w:val="00EB1903"/>
    <w:rsid w:val="00ED1A96"/>
    <w:rsid w:val="00F2173E"/>
    <w:rsid w:val="00F701B0"/>
    <w:rsid w:val="00F70F4B"/>
    <w:rsid w:val="00F871F7"/>
    <w:rsid w:val="00FE2E79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9485"/>
  <w15:chartTrackingRefBased/>
  <w15:docId w15:val="{BB77525B-40FD-453F-94C5-5FB1415E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0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F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2A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A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92A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D084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08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505B"/>
    <w:rPr>
      <w:color w:val="954F72" w:themeColor="followedHyperlink"/>
      <w:u w:val="single"/>
    </w:rPr>
  </w:style>
  <w:style w:type="table" w:styleId="ListTable4-Accent3">
    <w:name w:val="List Table 4 Accent 3"/>
    <w:basedOn w:val="TableNormal"/>
    <w:uiPriority w:val="49"/>
    <w:rsid w:val="0058796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87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ropeanRoadSafetyCharter" TargetMode="External"/><Relationship Id="rId13" Type="http://schemas.openxmlformats.org/officeDocument/2006/relationships/hyperlink" Target="https://translate.google.com/translate?hl=en&amp;prev=_t&amp;sl=auto&amp;tl=hu&amp;u=https://ec.europa.eu/transport/road_safety/eu-road-safety-results-conference_en" TargetMode="External"/><Relationship Id="rId18" Type="http://schemas.openxmlformats.org/officeDocument/2006/relationships/hyperlink" Target="https://translate.google.com/translate?hl=en&amp;prev=_t&amp;sl=auto&amp;tl=hu&amp;u=https://ec.europa.eu/transport/road_safety/sites/roadsafety/files/move-2019-01178-01-00-en-tra-00_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anslate.google.com/translate?hl=en&amp;prev=_t&amp;sl=auto&amp;tl=hu&amp;u=https://ec.europa.eu/transport/modes/road/news/2021-04-20-road-safety-statistics-2020_en" TargetMode="External"/><Relationship Id="rId7" Type="http://schemas.openxmlformats.org/officeDocument/2006/relationships/hyperlink" Target="https://twitter.com/ERSCharter" TargetMode="External"/><Relationship Id="rId12" Type="http://schemas.openxmlformats.org/officeDocument/2006/relationships/hyperlink" Target="https://webgate.ec.europa.eu/multisite/ersc/about-the-charter/how-join_en" TargetMode="External"/><Relationship Id="rId17" Type="http://schemas.openxmlformats.org/officeDocument/2006/relationships/hyperlink" Target="https://translate.google.com/translate?hl=en&amp;prev=_t&amp;sl=auto&amp;tl=hu&amp;u=https://eur-lex.europa.eu/resource.html%3Furi%3Dcellar%253A0e8b694e-59b5-11e8-ab41-01aa75ed71a1.0003.02/DOC_2%26format%3D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.com/translate?hl=en&amp;prev=_t&amp;sl=auto&amp;tl=hu&amp;u=https://undocs.org/en/A/RES/74/299" TargetMode="External"/><Relationship Id="rId20" Type="http://schemas.openxmlformats.org/officeDocument/2006/relationships/hyperlink" Target="https://translate.google.com/translate?hl=en&amp;prev=_t&amp;sl=auto&amp;tl=hu&amp;u=https://ec.europa.eu/transport/road_safet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multisite/ersc/node_en" TargetMode="External"/><Relationship Id="rId11" Type="http://schemas.openxmlformats.org/officeDocument/2006/relationships/hyperlink" Target="https://www.vias.be/en/" TargetMode="External"/><Relationship Id="rId5" Type="http://schemas.openxmlformats.org/officeDocument/2006/relationships/hyperlink" Target="mailto:ERSC-helpdesk@ricardo.com" TargetMode="External"/><Relationship Id="rId15" Type="http://schemas.openxmlformats.org/officeDocument/2006/relationships/hyperlink" Target="https://translate.google.com/translate?hl=en&amp;prev=_t&amp;sl=auto&amp;tl=hu&amp;u=https://undocs.org/en/A/RES/74/2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e.ricardo.com/" TargetMode="External"/><Relationship Id="rId19" Type="http://schemas.openxmlformats.org/officeDocument/2006/relationships/hyperlink" Target="https://translate.google.com/translate?hl=en&amp;prev=_t&amp;sl=auto&amp;tl=hu&amp;u=https://ec.europa.eu/transport/themes/mobilitystrategy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SC-helpdesk@ricardo.com" TargetMode="External"/><Relationship Id="rId14" Type="http://schemas.openxmlformats.org/officeDocument/2006/relationships/hyperlink" Target="https://translate.google.com/translate?hl=en&amp;prev=_t&amp;sl=auto&amp;tl=hu&amp;u=https://www.roadsafetysweden.com/about-the-conference/stockholm-declaratio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2322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Leroy</dc:creator>
  <cp:keywords/>
  <dc:description/>
  <cp:lastModifiedBy>Teale, Lindsay</cp:lastModifiedBy>
  <cp:revision>3</cp:revision>
  <dcterms:created xsi:type="dcterms:W3CDTF">2021-05-19T19:50:00Z</dcterms:created>
  <dcterms:modified xsi:type="dcterms:W3CDTF">2021-05-19T19:55:00Z</dcterms:modified>
</cp:coreProperties>
</file>